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Section 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Panel Title: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Rethinking Learning Support in the AI Era: What Should AI </w:t>
      </w:r>
      <w:r w:rsidDel="00000000" w:rsidR="00000000" w:rsidRPr="00000000">
        <w:rPr>
          <w:rFonts w:ascii="Arial" w:cs="Arial" w:eastAsia="Arial" w:hAnsi="Arial"/>
          <w:b w:val="1"/>
          <w:bCs w:val="1"/>
          <w:i w:val="1"/>
          <w:iCs w:val="1"/>
          <w:smallCaps w:val="0"/>
          <w:strike w:val="0"/>
          <w:color w:val="000000"/>
          <w:sz w:val="22"/>
          <w:szCs w:val="22"/>
          <w:u w:val="none"/>
          <w:shd w:fill="auto" w:val="clear"/>
          <w:vertAlign w:val="baseline"/>
          <w:rtl w:val="0"/>
        </w:rPr>
        <w:t xml:space="preserve">Not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Do for Learners?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Proposer(s) / Name(s), Affiliation(s) &amp; Country(ies):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Xiangen HU, The Hong Kong Polytechnic University, Hong Kong SAR</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Yanjie SONG, The Education University of Hong Kong, Hong Kong SAR</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Wenli CHEN, National Institute of Education, Nanyang Technological University, Singapore</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Roger AZEVEDO, University of Central Florida, USA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Email Address of Contact Person: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xiangen.hu@polyu.edu.hk</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Abstract (maximum 200 words):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support has always been defined as much by what it withholds as by what it provides. Scaffolding fades. Collaboration scripts manufacture the need for peers. Peer review withholds approval. Generative AI inverts this: it is built to supply, continuously and at no cost. This panel asks what support becomes when help is no longer scarce, and argues the design question is not what AI can do for learners but what it should be built not to do.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Three panelists accept that something must be withheld and disagree about what. Azevedo argues for prohibition — roles AI should not assume if learners are to retain metacognitive agency. Chen argues for design — AI as a cognitive partner that enlarges agency rather than substituting for it. Song argues the category is wrong: support is presence, not information on demand. The fourth panelist dissents, holding that in scholarly peer review the judgment being protected was never validated and a psychometrically gated instrument is the fairer substitute.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That three senior researchers cannot agree on what is endangered is itself the finding. The closing segment turns to an audience of educators and reviewers, asking where each has already accepted machine substitution without deciding to.</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Panel Members' Particulars:</w:t>
      </w:r>
      <w:r w:rsidDel="00000000" w:rsidR="00000000" w:rsidRPr="00000000">
        <w:rPr>
          <w:rtl w:val="0"/>
        </w:rPr>
      </w:r>
    </w:p>
    <w:tbl>
      <w:tblPr>
        <w:tblStyle w:val="Table1"/>
        <w:tblW w:w="9026.0" w:type="dxa"/>
        <w:jc w:val="left"/>
        <w:tblInd w:w="-115.0" w:type="dxa"/>
        <w:tblLayout w:type="fixed"/>
        <w:tblLook w:val="0000"/>
      </w:tblPr>
      <w:tblGrid>
        <w:gridCol w:w="1150"/>
        <w:gridCol w:w="2350"/>
        <w:gridCol w:w="1900"/>
        <w:gridCol w:w="3626"/>
        <w:tblGridChange w:id="0">
          <w:tblGrid>
            <w:gridCol w:w="1150"/>
            <w:gridCol w:w="2350"/>
            <w:gridCol w:w="1900"/>
            <w:gridCol w:w="362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 &amp; Affiliation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Email Address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Short Biography (max. 80 words per member)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Chair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Xiangen HU</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Hong Kong Polytechnic University, Hong Kong SAR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0"/>
                <w:szCs w:val="20"/>
                <w:rtl w:val="0"/>
              </w:rPr>
              <w:t xml:space="preserve">xiangen.hu@polyu.edu.hk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Xiangen Hu is Chair Professor of Learning Sciences and Technologies at Hong Kong Polytechnic University, where he directs the Institute for Higher Education Research and Development and the Educational Research Centre. He is Professor Emeritus of Psychology at the University of Memphis, following thirty years there across psychology, electrical and computer engineering, and computer science, and was a co-developer of AutoTutor. Trained in applied mathematics and cognitive psychology, he now applies psychometric validation to AI evaluation of scholarly writing.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Panelist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Roger AZEVEDO</w:t>
            </w: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University of Central Florida, USA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Roger.Azevedo@ucf.edu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Professor Roger Azevedo is a Pegasus Professor in the School of Modeling, Simulation and Training at the University of Central Florida and Lead Scientist of the Learning Sciences Faculty Cluster. He earned his PhD in Educational Psychology from McGill University and completed postdoctoral training at Carnegie Mellon University. His research focuses on self-regulated learning, metacognition, multimodal learning analytics, AI in education, and advanced learning technologies. He has published over 300 works and received the U.S. National Science Foundation CAREER Award.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Panelist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Wenli CHEN</w:t>
            </w: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National Institute of Education, Nanyang Technological University, Singapore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wenli.chen@nie.edu.sg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Professor Chen Wenli is Associate Dean (Research) at the National Institute of Education, Nanyang Technological University, Singapore. She co-leads NIE’s Emerging Technologies Strategic Growth Area and AIED@NIE. Her research focuses on computer-supported collaborative learning, multimodal learning analytics, and human-centered AI in education. An internationally recognized scholar, she has received numerous awards and keynote invitations. She serves as Editor-in-Chief of leading journals and holds leadership roles in major international organizations, including ISLS, APSCE, and GCSCE.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Panelist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Yanjie SONG</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Education University of Hong Kong, Hong Kong SAR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ysong@eduhk.hk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Professor Yanjie Song is Associate Co-Director of AAPSEF and Associate Director of CILME and CELT at EdUHK. Her research focuses on AR, VR, the metaverse, AI in education, and multimodal learning analytics. She has led the development of award-winning educational technologies, including VocabGo, Learningverse, LearningverseVR, EmoCare, iChat, and Ai-APP, securing multiple patents. A recipient of competitive research funding, she holds leadership roles in APSCE, and has been recognized among Stanford’s top 2% most-cited education scientists.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Panelist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Xiangen HU</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Hong Kong Polytechnic University, Hong Kong SAR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spacing w:after="40" w:before="40" w:lineRule="auto"/>
              <w:ind w:lef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sz w:val="20"/>
                <w:szCs w:val="20"/>
                <w:rtl w:val="0"/>
              </w:rPr>
              <w:t xml:space="preserve">xiangen.hu@polyu.edu.hk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40" w:before="4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As above (see Chair).</w:t>
            </w: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Specific Requirements for the Panel (e.g., A/V equipment):</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Standard data projector with HDMI input, presenter laptop connection, and four lapel or handheld microphones. One roving microphone is requested for the audience exchange segment. No specialist equipment is required.</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rPr/>
      </w:pPr>
      <w:r w:rsidDel="00000000" w:rsidR="00000000" w:rsidRPr="00000000">
        <w:br w:type="page"/>
      </w:r>
      <w:r w:rsidDel="00000000" w:rsidR="00000000" w:rsidRPr="00000000">
        <w:rPr>
          <w:rtl w:val="0"/>
        </w:rPr>
      </w:r>
    </w:p>
    <w:p w:rsidR="00000000" w:rsidDel="00000000" w:rsidP="00000000" w:rsidRDefault="00000000" w:rsidRPr="00000000" w14:paraId="00000037">
      <w:pPr>
        <w:keepNext w:val="1"/>
        <w:keepLines w:val="0"/>
        <w:pageBreakBefore w:val="0"/>
        <w:widowControl w:val="0"/>
        <w:pBdr>
          <w:top w:space="0" w:sz="0" w:val="nil"/>
          <w:left w:space="0" w:sz="0" w:val="nil"/>
          <w:bottom w:space="0" w:sz="0" w:val="nil"/>
          <w:right w:space="0" w:sz="0" w:val="nil"/>
          <w:between w:space="0" w:sz="0" w:val="nil"/>
        </w:pBdr>
        <w:shd w:fill="auto" w:val="clear"/>
        <w:spacing w:after="60" w:before="240" w:line="240" w:lineRule="auto"/>
        <w:ind w:left="0" w:right="0" w:firstLine="0"/>
        <w:jc w:val="center"/>
        <w:rPr>
          <w:rFonts w:ascii="Arial" w:cs="Arial" w:eastAsia="Arial" w:hAnsi="Arial"/>
          <w:b w:val="1"/>
          <w:bCs w:val="1"/>
          <w:i w:val="0"/>
          <w:iCs w:val="0"/>
          <w:smallCaps w:val="0"/>
          <w:strike w:val="0"/>
          <w:color w:val="000000"/>
          <w:sz w:val="44"/>
          <w:szCs w:val="4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Rethinking Learning Support in the AI Era: What Should AI </w:t>
      </w:r>
      <w:r w:rsidDel="00000000" w:rsidR="00000000" w:rsidRPr="00000000">
        <w:rPr>
          <w:rFonts w:ascii="Arial" w:cs="Arial" w:eastAsia="Arial" w:hAnsi="Arial"/>
          <w:b w:val="1"/>
          <w:bCs w:val="1"/>
          <w:i w:val="1"/>
          <w:iCs w:val="1"/>
          <w:smallCaps w:val="0"/>
          <w:strike w:val="0"/>
          <w:color w:val="000000"/>
          <w:sz w:val="44"/>
          <w:szCs w:val="44"/>
          <w:u w:val="none"/>
          <w:shd w:fill="auto" w:val="clear"/>
          <w:vertAlign w:val="baseline"/>
          <w:rtl w:val="0"/>
        </w:rPr>
        <w:t xml:space="preserve">Not</w:t>
      </w:r>
      <w:r w:rsidDel="00000000" w:rsidR="00000000" w:rsidRPr="00000000">
        <w:rPr>
          <w:rFonts w:ascii="Arial" w:cs="Arial" w:eastAsia="Arial" w:hAnsi="Arial"/>
          <w:b w:val="1"/>
          <w:bCs w:val="1"/>
          <w:i w:val="0"/>
          <w:iCs w:val="0"/>
          <w:smallCaps w:val="0"/>
          <w:strike w:val="0"/>
          <w:color w:val="000000"/>
          <w:sz w:val="44"/>
          <w:szCs w:val="44"/>
          <w:u w:val="none"/>
          <w:shd w:fill="auto" w:val="clear"/>
          <w:vertAlign w:val="baseline"/>
          <w:rtl w:val="0"/>
        </w:rPr>
        <w:t xml:space="preserve"> Do for Learners?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Xiangen HU</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superscript"/>
          <w:rtl w:val="0"/>
        </w:rPr>
        <w:t xml:space="preserve">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Roger AZEVEDO</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superscript"/>
          <w:rtl w:val="0"/>
        </w:rPr>
        <w:t xml:space="preserve">b</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Wenli CHEN</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superscript"/>
          <w:rtl w:val="0"/>
        </w:rPr>
        <w:t xml:space="preserve">c</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&amp; Yanjie SONG</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superscript"/>
          <w:rtl w:val="0"/>
        </w:rPr>
        <w:t xml:space="preserve">d</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a</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Hong Kong Polytechnic University, Hong Kong SAR</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b</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University of Central Florida, USA</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c</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National Institute of Education, Nanyang Technological University, Singapore</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d</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The Education University of Hong Kong, Hong Kong SAR</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*xiangen.hu@polyu.edu.hk</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Abstract: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Learning support has historically been defined as much by what it withholds as by what it provides. Scaffolding was constituted by its fading; collaboration scripts work by manufacturing interdependence learners cannot resolve alone; peer review functions by withholding approval. Each mechanism depends on help being scarce, effortful, or conditional. Generative AI inverts the arrangement: it is engineered to supply, continuously and at negligible cost, across every level at which learning support has been theorised. This panel asks what learning support becomes when help is no longer scarce, and advances the proposition that the design question now facing the field is not what AI can do for learners but what it should be built not to do. Three panelists accept the proposition and disagree about what follows from it. Azevedo argues for prohibition: roles AI should not assume, if learners are to retain metacognitive agency. Chen argues for design: AI configured as a cognitive partner that enlarges learner agency rather than substituting for it. Song argues that the category itself is wrong — support is constituted by presence, not by information delivered on demand. The fourth panelist dissents. Taking peer review as the terminal rung of the same evaluative capacity, Hu argues that the human judgment being protected there has never been validated — no measured inter-rater agreement, no test-retest evidence, no audit for bias against second-language phrasing — and that a psychometrically gated instrument is the fairer substitute. The closing segment turns to an audience who are themselves educators, learners, and reviewers, asking where each has already accepted machine substitution without having decided to.</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Keywords: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Learning support, scaffolding, self-regulated learning, learner agency, generative AI, evaluative judgment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The Problem</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Across unrelated traditions, learning support has been designed around constraint. Scaffolding was defined not by the assistance given but by its planned withdrawal. Collaboration scripts engineer positive interdependence, manufacturing a need individual learners cannot satisfy alone. Desirable difficulty holds that retrieval effort is not a cost of learning but its mechanism. Peer review operates by withholding approval. In each case the withheld element is not an imperfection to be engineered away; it is where the learning is.</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Generative AI is built on the opposite premise. Assistance is continuous, fluent, and effectively free, and it arrives at every level at which learning support has been theorised: the learner monitoring comprehension, the group coordinating shared work, and the scholarly community judging its own knowledge claims. The field has framed this as a question of capability. We argue it is a question of design restraint, for which no principled account yet exists.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absence of such an account is visible within this panel. Three of the four positions below accept that something must be withheld and then disagree about what: Azevedo locates the endangered thing in learners' regulatory processes, Chen in learner agency and depth of engagement, Song in the relational presence that makes regulation possible at all. Identifying different casualties, they prescribe different remedies — prohibition, design for partnership, redefinition. The fourth declines the premise. That spread is not an untidiness in the panel; it is the state of the field, and the panel is organised to expose it.</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Proposition and Structure</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panel advances a single contestable proposition: where AI supplies support competently and without condition, the capacity that the support was designed to develop is not merely unexercised but undeveloped. Its negation is serious, widely held, and defensible on grounds of access and equity — that AI should provide whatever help it can, and that restraint is paternalism dressed as pedagogy.</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panel is constructed so that this disagreement is held internally rather than staged. Sections 3.1 to 3.3 give three incompatible accounts of what is at risk and what should follow. Section 3.4 argues that in the one domain for which audited comparative data now exist, the human judgment being protected was never validated and does not merit the presumption. Panelists are asked, in the session itself, to name the finding that would change their mind; those falsifiers structure the moderated exchange in §4.</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Panelist Positions</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1"/>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3.1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Prohibition: Roles AI Should Not Assume (Roger AZEVEDO)</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Azevedo argues that as AI becomes ubiquitous in education, the field must deliberately delineate the roles AI should not assume, in order to protect learners' metacognitive development and self-regulated learning. Over-automation — doing learners' planning, monitoring, and reflection for them — erodes metacognitive awareness, fosters dependency, and obscures transferable strategies. He proposes design principles for systems that scaffold rather than supplant: prompting strategic questioning, modelling but fading support, providing interpretable feedback, and preserving learners' opportunity to set goals, monitor progress, and generate explanations. Ethical and equity considerations follow, including the risks of opaque interventions and of unequal impact on learners with differing prior knowledge. He closes with research directions and evaluation metrics — strategy use, calibration, autonomous problem solving — intended to ensure that AI amplifies rather than replaces learners' metacognitive agency.</w:t>
      </w:r>
      <w:r w:rsidDel="00000000" w:rsidR="00000000" w:rsidRPr="00000000">
        <w:rPr>
          <w:rtl w:val="0"/>
        </w:rPr>
      </w:r>
    </w:p>
    <w:p w:rsidR="00000000" w:rsidDel="00000000" w:rsidP="00000000" w:rsidRDefault="00000000" w:rsidRPr="00000000" w14:paraId="00000051">
      <w:pPr>
        <w:keepNext w:val="1"/>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3.2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Design: Fostering Learner Agency with Learning-Sciences-Informed AIED (Wenli CHEN)</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Chen accepts the risk Azevedo names but locates the remedy in design rather than prohibition. From a learning-sciences perspective, she examines how AI-augmented environments can be built not as tools for quick answers but as cognitive partners that enlarge human agency and foster self-regulation, critical thinking, and metacognitive skill. Drawing on her empirical work, she presents human-centred AIED designs intended to strengthen learners' cognitive and regulatory capacities rather than undermine them, and argues for a shift of focus from efficiency to meaningful learning — placing deep cognitive engagement and learner agency at the centre of human–AI collaboration. The disagreement with §3.1 is substantive: if agency can be designed for, then withholding is a blunt instrument and possibly an unnecessary one.</w:t>
      </w:r>
      <w:r w:rsidDel="00000000" w:rsidR="00000000" w:rsidRPr="00000000">
        <w:rPr>
          <w:rtl w:val="0"/>
        </w:rPr>
      </w:r>
    </w:p>
    <w:p w:rsidR="00000000" w:rsidDel="00000000" w:rsidP="00000000" w:rsidRDefault="00000000" w:rsidRPr="00000000" w14:paraId="00000052">
      <w:pPr>
        <w:keepNext w:val="1"/>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3.3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Presence: Support as Relation, Not Transfer (Yanjie SONG)</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AI-powered tutoring systems are gaining traction in higher education, yet most learning management systems lack mechanisms for continuous, personalised, interaction-based support of self-regulated or socially shared regulation of learning. Song presents iChat-tutor, a 3D digital human tutoring system integrated into an LMS to deliver embodied facilitation for both. Her position reframes the panel's question rather than answering it: if support is reduced to information delivered on demand, embodiment is merely decorative, and the debate over how much to supply has been conducted in the wrong currency. Genuine support is constituted by presence — a relational, responsive engagement that changes what regulation is possible. Embodied agents in mixed and extended reality reshape self-regulated and socially shared regulation in ways screen-based systems cannot. She asks, finally, whether immersion and embodiment are being pursued as ends in themselves rather than as means to authentic learning presence.</w:t>
      </w:r>
      <w:r w:rsidDel="00000000" w:rsidR="00000000" w:rsidRPr="00000000">
        <w:rPr>
          <w:rtl w:val="0"/>
        </w:rPr>
      </w:r>
    </w:p>
    <w:p w:rsidR="00000000" w:rsidDel="00000000" w:rsidP="00000000" w:rsidRDefault="00000000" w:rsidRPr="00000000" w14:paraId="00000053">
      <w:pPr>
        <w:keepNext w:val="1"/>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3.4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Dissent: Validated Instruments Against Unaudited Expertise (Xiangen HU)</w:t>
      </w:r>
      <w:r w:rsidDel="00000000" w:rsidR="00000000" w:rsidRPr="00000000">
        <w:rPr>
          <w:rFonts w:ascii="Arial" w:cs="Arial" w:eastAsia="Arial" w:hAnsi="Arial"/>
          <w:b w:val="1"/>
          <w:bCs w:val="1"/>
          <w:i w:val="1"/>
          <w:iCs w:val="1"/>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Scholars are learners at the terminal rung: peer review is where evaluative judgment is exercised at the end of the sequence the preceding positions examine at its start. Section 1 treats it as support that works by withholding approval. Hu argues that premise is untested. Reviewers are assigned without measured inter-rater agreement, without test-retest evidence, and without any audit of whether equivalent content is scored differently by surface markers. He presents an instrument that carries all three: a rubric becomes gradable only by passing tiered gates for discrimination, test-retest reliability reported as ICC, cross-model agreement, and fairness across second-language phrasing. The ICCE 2026 sub-conference corpus of 95 submissions was processed this way. The claim is not that machines judge better than experts, but that this process can be audited and a committee of experts, as constituted, cannot. He concedes the limit: the instrument was Core-tier, which its own documentation disclaims for high-stakes use and which establishes neither content nor criterion validity. The position fails if machine–human agreement proves no better than human–human agreement.</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Panel Format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session guarantees the required audience exchange rather than leaving it to whatever time remains. Minutes 0–5: the chair states the proposition and its negation, and asks the audience where they have already delegated evaluative work to AI. Minutes 5–25: four five-minute position statements, each closing with the finding that would change the speaker's mind. Minutes 25–40: moderated exchange, opening with the sharpest incompatibility to emerge — most likely between prohibition and design. Minutes 40–60: audience exchange on which forms of support they would accept seeing withheld.</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Significance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Reimagining learning ecologies requires deciding what the intelligent components of those ecologies should decline to do — a decision currently made by default, through product design, procurement, and individual adoption, rather than by the research community. Three senior researchers who agree that something must be withheld cannot presently agree on what, and a fourth disputes that the question is well posed. Surfacing that disagreement in front of the community is more useful than a fifth restatement of consensus.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39"/>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composition carries a deliberate asymmetry: three panelists study learners, the fourth the research community itself. It also implicates the room — the submissions in these proceedings were evaluated by a process of the kind under dispute.</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sectPr>
      <w:pgSz w:h="16838" w:w="11906" w:orient="portrait"/>
      <w:pgMar w:bottom="1151" w:top="1440" w:left="1440" w:right="1440" w:header="72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left="924" w:hanging="357"/>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firstLine="0"/>
      <w:jc w:val="center"/>
    </w:pPr>
    <w:rPr>
      <w:rFonts w:ascii="Arial" w:cs="Arial" w:eastAsia="Arial" w:hAnsi="Arial"/>
      <w:b w:val="0"/>
      <w:bCs w:val="0"/>
      <w:sz w:val="44"/>
      <w:szCs w:val="44"/>
    </w:rPr>
  </w:style>
  <w:style w:type="paragraph" w:styleId="Heading2">
    <w:name w:val="heading 2"/>
    <w:basedOn w:val="Normal"/>
    <w:next w:val="Normal"/>
    <w:pPr>
      <w:keepNext w:val="1"/>
      <w:spacing w:after="120" w:before="240" w:lineRule="auto"/>
      <w:ind w:left="0" w:firstLine="0"/>
      <w:jc w:val="both"/>
    </w:pPr>
    <w:rPr>
      <w:rFonts w:ascii="Helvetica Neue" w:cs="Helvetica Neue" w:eastAsia="Helvetica Neue" w:hAnsi="Helvetica Neue"/>
      <w:b w:val="0"/>
      <w:bCs w:val="0"/>
      <w:sz w:val="20"/>
      <w:szCs w:val="20"/>
    </w:rPr>
  </w:style>
  <w:style w:type="paragraph" w:styleId="Heading3">
    <w:name w:val="heading 3"/>
    <w:basedOn w:val="Normal"/>
    <w:next w:val="Normal"/>
    <w:pPr>
      <w:keepNext w:val="1"/>
      <w:spacing w:line="720" w:lineRule="auto"/>
      <w:ind w:left="0" w:firstLine="0"/>
    </w:pPr>
    <w:rPr>
      <w:rFonts w:ascii="Cambria" w:cs="Cambria" w:eastAsia="Cambria" w:hAnsi="Cambria"/>
      <w:b w:val="1"/>
      <w:bCs w:val="1"/>
      <w:sz w:val="36"/>
      <w:szCs w:val="36"/>
    </w:rPr>
  </w:style>
  <w:style w:type="paragraph" w:styleId="Heading4">
    <w:name w:val="heading 4"/>
    <w:basedOn w:val="Normal"/>
    <w:next w:val="Normal"/>
    <w:pPr>
      <w:keepNext w:val="1"/>
      <w:spacing w:line="720" w:lineRule="auto"/>
      <w:ind w:left="0" w:firstLine="0"/>
    </w:pPr>
    <w:rPr>
      <w:rFonts w:ascii="Cambria" w:cs="Cambria" w:eastAsia="Cambria" w:hAnsi="Cambria"/>
      <w:sz w:val="36"/>
      <w:szCs w:val="3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0x010100647A3D4E21BAF646B01A185A79EA9EBC</vt:lpwstr>
  </property>
  <property fmtid="{D5CDD505-2E9C-101B-9397-08002B2CF9AE}" pid="3" name="GrammarlyDocumentId">
    <vt:lpwstr>0d01731c-7869-4dc9-bb84-636e54579af4</vt:lpwstr>
  </property>
  <property fmtid="{D5CDD505-2E9C-101B-9397-08002B2CF9AE}" pid="4" name="_activity">
    <vt:lpwstr>_activity</vt:lpwstr>
  </property>
</Properties>
</file>