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7296" w14:textId="0902935A" w:rsidR="000E5A85" w:rsidRPr="000E5A85" w:rsidRDefault="000E5A85" w:rsidP="000E5A85">
      <w:pPr>
        <w:jc w:val="center"/>
        <w:rPr>
          <w:rFonts w:ascii="Arial" w:eastAsia="PMingLiU" w:hAnsi="Arial" w:cs="Arial"/>
          <w:b/>
          <w:bCs/>
          <w:kern w:val="32"/>
          <w:sz w:val="44"/>
          <w:szCs w:val="44"/>
          <w:lang w:eastAsia="zh-CN"/>
        </w:rPr>
      </w:pPr>
      <w:r w:rsidRPr="000E5A85">
        <w:rPr>
          <w:rFonts w:ascii="Arial" w:eastAsia="PMingLiU" w:hAnsi="Arial" w:cs="Arial"/>
          <w:b/>
          <w:bCs/>
          <w:kern w:val="32"/>
          <w:sz w:val="44"/>
          <w:szCs w:val="44"/>
          <w:lang w:eastAsia="zh-CN"/>
        </w:rPr>
        <w:t>WS04</w:t>
      </w:r>
      <w:r w:rsidR="000501A6">
        <w:rPr>
          <w:rFonts w:ascii="Arial" w:eastAsia="PMingLiU" w:hAnsi="Arial" w:cs="Arial"/>
          <w:b/>
          <w:bCs/>
          <w:kern w:val="32"/>
          <w:sz w:val="44"/>
          <w:szCs w:val="44"/>
          <w:lang w:eastAsia="zh-CN"/>
        </w:rPr>
        <w:t xml:space="preserve"> </w:t>
      </w:r>
      <w:r w:rsidR="000501A6" w:rsidRPr="000E5A85">
        <w:rPr>
          <w:rFonts w:ascii="Arial" w:eastAsia="PMingLiU" w:hAnsi="Arial" w:cs="Arial"/>
          <w:b/>
          <w:bCs/>
          <w:kern w:val="32"/>
          <w:sz w:val="44"/>
          <w:szCs w:val="44"/>
          <w:lang w:eastAsia="zh-CN"/>
        </w:rPr>
        <w:t>AI in Education and Society</w:t>
      </w:r>
    </w:p>
    <w:p w14:paraId="22B5CBF6" w14:textId="77777777" w:rsidR="00C525DD" w:rsidRPr="000E5A85" w:rsidRDefault="00C525DD">
      <w:pPr>
        <w:rPr>
          <w:rFonts w:ascii="Arial" w:hAnsi="Arial" w:cs="Arial"/>
          <w:sz w:val="22"/>
          <w:szCs w:val="22"/>
          <w:lang w:eastAsia="zh-CN"/>
        </w:rPr>
      </w:pPr>
    </w:p>
    <w:p w14:paraId="335E5AC9" w14:textId="3A730197" w:rsidR="00C525DD" w:rsidRPr="000E5A85" w:rsidRDefault="000E5A85">
      <w:pPr>
        <w:spacing w:before="240" w:after="60"/>
        <w:jc w:val="both"/>
        <w:rPr>
          <w:rFonts w:ascii="Arial" w:hAnsi="Arial" w:cs="Arial"/>
          <w:sz w:val="24"/>
          <w:szCs w:val="24"/>
        </w:rPr>
      </w:pPr>
      <w:r w:rsidRPr="000E5A85">
        <w:rPr>
          <w:rFonts w:ascii="Arial" w:eastAsia="Times New Roman" w:hAnsi="Arial" w:cs="Arial"/>
          <w:b/>
          <w:bCs/>
          <w:color w:val="000000"/>
          <w:sz w:val="24"/>
          <w:szCs w:val="24"/>
          <w:lang w:eastAsia="zh-CN"/>
        </w:rPr>
        <w:t xml:space="preserve">1. </w:t>
      </w:r>
      <w:r w:rsidR="00000000" w:rsidRPr="000E5A85">
        <w:rPr>
          <w:rFonts w:ascii="Arial" w:eastAsia="Times New Roman" w:hAnsi="Arial" w:cs="Arial"/>
          <w:b/>
          <w:bCs/>
          <w:color w:val="000000"/>
          <w:sz w:val="24"/>
          <w:szCs w:val="24"/>
        </w:rPr>
        <w:t>Style of the workshop</w:t>
      </w:r>
    </w:p>
    <w:p w14:paraId="45CD9042"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 xml:space="preserve">This workshop provides a </w:t>
      </w:r>
      <w:proofErr w:type="gramStart"/>
      <w:r w:rsidRPr="000E5A85">
        <w:rPr>
          <w:rFonts w:ascii="Arial" w:eastAsia="Times New Roman" w:hAnsi="Arial" w:cs="Arial"/>
          <w:b/>
          <w:bCs/>
          <w:sz w:val="22"/>
          <w:szCs w:val="22"/>
        </w:rPr>
        <w:t>mini-conference</w:t>
      </w:r>
      <w:proofErr w:type="gramEnd"/>
      <w:r w:rsidRPr="000E5A85">
        <w:rPr>
          <w:rFonts w:ascii="Arial" w:eastAsia="Times New Roman" w:hAnsi="Arial" w:cs="Arial"/>
          <w:sz w:val="22"/>
          <w:szCs w:val="22"/>
        </w:rPr>
        <w:t>, with paper presentations as well as interactive sessions for researchers and practitioners from various disciplines to exchange ideas, share empirical findings, and collaboratively explore the transformative role of artificial intelligence in educational settings and broader society.</w:t>
      </w:r>
    </w:p>
    <w:p w14:paraId="7A241980" w14:textId="77777777" w:rsidR="00C525DD" w:rsidRPr="000E5A85" w:rsidRDefault="00C525DD">
      <w:pPr>
        <w:rPr>
          <w:rFonts w:ascii="Arial" w:hAnsi="Arial" w:cs="Arial"/>
          <w:sz w:val="22"/>
          <w:szCs w:val="22"/>
        </w:rPr>
      </w:pPr>
    </w:p>
    <w:p w14:paraId="55F3486C" w14:textId="1960BB86" w:rsidR="00C525DD" w:rsidRPr="000E5A85" w:rsidRDefault="000E5A85">
      <w:pPr>
        <w:spacing w:before="240" w:after="60"/>
        <w:jc w:val="both"/>
        <w:rPr>
          <w:rFonts w:ascii="Arial" w:eastAsia="Times New Roman" w:hAnsi="Arial" w:cs="Arial"/>
          <w:b/>
          <w:bCs/>
          <w:color w:val="000000"/>
          <w:sz w:val="24"/>
          <w:szCs w:val="24"/>
          <w:lang w:eastAsia="zh-CN"/>
        </w:rPr>
      </w:pPr>
      <w:r w:rsidRPr="000E5A85">
        <w:rPr>
          <w:rFonts w:ascii="Arial" w:eastAsia="Times New Roman" w:hAnsi="Arial" w:cs="Arial"/>
          <w:b/>
          <w:bCs/>
          <w:color w:val="000000"/>
          <w:sz w:val="24"/>
          <w:szCs w:val="24"/>
          <w:lang w:eastAsia="zh-CN"/>
        </w:rPr>
        <w:t xml:space="preserve">2. </w:t>
      </w:r>
      <w:r w:rsidR="00000000" w:rsidRPr="000E5A85">
        <w:rPr>
          <w:rFonts w:ascii="Arial" w:eastAsia="Times New Roman" w:hAnsi="Arial" w:cs="Arial"/>
          <w:b/>
          <w:bCs/>
          <w:color w:val="000000"/>
          <w:sz w:val="24"/>
          <w:szCs w:val="24"/>
          <w:lang w:eastAsia="zh-CN"/>
        </w:rPr>
        <w:t>A brief description of the workshop topic</w:t>
      </w:r>
    </w:p>
    <w:p w14:paraId="712E39EA"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Artificial intelligence is rapidly reshaping education and society at large. From intelligent tutoring systems and automated assessment to generative AI tools that assist teachers and learners, AI technologies are creating both unprecedented opportunities and pressing challenges. Educators, researchers, policymakers, and technology designers are grappling with questions of equity, ethics, and effectiveness as AI becomes embedded in classrooms, workplaces, and communities worldwide.</w:t>
      </w:r>
    </w:p>
    <w:p w14:paraId="1E8EAB8F" w14:textId="77777777" w:rsidR="000E5A85" w:rsidRDefault="000E5A85" w:rsidP="000E5A85">
      <w:pPr>
        <w:spacing w:line="295" w:lineRule="auto"/>
        <w:ind w:right="140"/>
        <w:jc w:val="both"/>
        <w:rPr>
          <w:rFonts w:ascii="Arial" w:eastAsia="Times New Roman" w:hAnsi="Arial" w:cs="Arial"/>
          <w:sz w:val="22"/>
          <w:szCs w:val="22"/>
          <w:lang w:eastAsia="zh-CN"/>
        </w:rPr>
      </w:pPr>
    </w:p>
    <w:p w14:paraId="1570A851" w14:textId="547B7043"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This workshop focuses on the intersection of AI, learning, and society. It brings together interdisciplinary perspectives to examine how AI-enhanced learning environments can be designed inclusively and responsibly. Topics of interest span across K-12 and higher education, informal learning settings, teacher professional development, and societal implications of AI adoption. The workshop encourages both theoretical and empirical contributions, including studies on AI-driven personalization, human-AI collaboration, algorithmic bias in educational systems, and learners' and teachers' perceptions of AI.</w:t>
      </w:r>
    </w:p>
    <w:p w14:paraId="62F685D2" w14:textId="77777777" w:rsidR="000E5A85" w:rsidRDefault="000E5A85" w:rsidP="000E5A85">
      <w:pPr>
        <w:spacing w:line="295" w:lineRule="auto"/>
        <w:ind w:right="140"/>
        <w:jc w:val="both"/>
        <w:rPr>
          <w:rFonts w:ascii="Arial" w:eastAsia="Times New Roman" w:hAnsi="Arial" w:cs="Arial"/>
          <w:sz w:val="22"/>
          <w:szCs w:val="22"/>
          <w:lang w:eastAsia="zh-CN"/>
        </w:rPr>
      </w:pPr>
    </w:p>
    <w:p w14:paraId="1DF5EAE4" w14:textId="22599D5C"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As AI literacy becomes an essential competency of the 21st century, this workshop also welcomes work on how schools and communities can prepare learners to critically engage with AI as both users and informed citizens. By convening researchers from computer science, education, learning sciences, and social sciences, the workshop aims to advance a shared understanding of how AI can serve human flourishing.</w:t>
      </w:r>
    </w:p>
    <w:p w14:paraId="7E4100E5" w14:textId="77777777" w:rsidR="00C525DD" w:rsidRPr="000E5A85" w:rsidRDefault="00C525DD">
      <w:pPr>
        <w:rPr>
          <w:rFonts w:ascii="Arial" w:hAnsi="Arial" w:cs="Arial"/>
          <w:sz w:val="22"/>
          <w:szCs w:val="22"/>
        </w:rPr>
      </w:pPr>
    </w:p>
    <w:p w14:paraId="1ECC49C1" w14:textId="15BC9FB4" w:rsidR="00C525DD" w:rsidRPr="000E5A85" w:rsidRDefault="000E5A85">
      <w:pPr>
        <w:spacing w:before="240" w:after="60"/>
        <w:jc w:val="both"/>
        <w:rPr>
          <w:rFonts w:ascii="Arial" w:eastAsia="Times New Roman" w:hAnsi="Arial" w:cs="Arial"/>
          <w:b/>
          <w:bCs/>
          <w:color w:val="000000"/>
          <w:sz w:val="24"/>
          <w:szCs w:val="24"/>
          <w:lang w:eastAsia="zh-CN"/>
        </w:rPr>
      </w:pPr>
      <w:r w:rsidRPr="000E5A85">
        <w:rPr>
          <w:rFonts w:ascii="Arial" w:eastAsia="Times New Roman" w:hAnsi="Arial" w:cs="Arial"/>
          <w:b/>
          <w:bCs/>
          <w:color w:val="000000"/>
          <w:sz w:val="24"/>
          <w:szCs w:val="24"/>
          <w:lang w:eastAsia="zh-CN"/>
        </w:rPr>
        <w:t xml:space="preserve">3. </w:t>
      </w:r>
      <w:r w:rsidR="00000000" w:rsidRPr="000E5A85">
        <w:rPr>
          <w:rFonts w:ascii="Arial" w:eastAsia="Times New Roman" w:hAnsi="Arial" w:cs="Arial"/>
          <w:b/>
          <w:bCs/>
          <w:color w:val="000000"/>
          <w:sz w:val="24"/>
          <w:szCs w:val="24"/>
          <w:lang w:eastAsia="zh-CN"/>
        </w:rPr>
        <w:t>Paper Submission</w:t>
      </w:r>
    </w:p>
    <w:p w14:paraId="1E362EA2"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Authors should submit papers by e-mail to [CalvinCYLiao@gmail.com]</w:t>
      </w:r>
    </w:p>
    <w:p w14:paraId="1FA7B533"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Chang-Yen Liao, National Central University</w:t>
      </w:r>
    </w:p>
    <w:p w14:paraId="7FDF2FC7"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Ensure that you have followed the formatting instructions in the Paper Template File (</w:t>
      </w:r>
      <w:hyperlink r:id="rId5" w:history="1">
        <w:r w:rsidR="00C525DD" w:rsidRPr="000E5A85">
          <w:rPr>
            <w:rStyle w:val="Hyperlink"/>
            <w:rFonts w:ascii="Arial" w:eastAsia="Times New Roman" w:hAnsi="Arial" w:cs="Arial"/>
            <w:sz w:val="22"/>
            <w:szCs w:val="22"/>
          </w:rPr>
          <w:t>https://icce2026.csse.canterbury.ac.nz/wp-content/uploads/2026/03/ICCE2026_PaperTemplate.doc</w:t>
        </w:r>
      </w:hyperlink>
      <w:r w:rsidRPr="000E5A85">
        <w:rPr>
          <w:rFonts w:ascii="Arial" w:eastAsia="Times New Roman" w:hAnsi="Arial" w:cs="Arial"/>
          <w:sz w:val="22"/>
          <w:szCs w:val="22"/>
        </w:rPr>
        <w:t>). All submissions will be reviewed by at least two reviewers.</w:t>
      </w:r>
    </w:p>
    <w:p w14:paraId="3038E5B9"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The page limits for full paper (8-10 pages), short paper (5-6 pages)</w:t>
      </w:r>
    </w:p>
    <w:p w14:paraId="11D1AA6C" w14:textId="77777777" w:rsidR="00C525DD" w:rsidRPr="000E5A85" w:rsidRDefault="00C525DD">
      <w:pPr>
        <w:rPr>
          <w:rFonts w:ascii="Arial" w:hAnsi="Arial" w:cs="Arial"/>
          <w:sz w:val="22"/>
          <w:szCs w:val="22"/>
        </w:rPr>
      </w:pPr>
    </w:p>
    <w:p w14:paraId="3383BE43" w14:textId="5ADF812B" w:rsidR="00C525DD" w:rsidRPr="000E5A85" w:rsidRDefault="000E5A85">
      <w:pPr>
        <w:spacing w:before="240" w:after="60"/>
        <w:jc w:val="both"/>
        <w:rPr>
          <w:rFonts w:ascii="Arial" w:eastAsia="Times New Roman" w:hAnsi="Arial" w:cs="Arial"/>
          <w:b/>
          <w:bCs/>
          <w:color w:val="000000"/>
          <w:sz w:val="24"/>
          <w:szCs w:val="24"/>
          <w:lang w:eastAsia="zh-CN"/>
        </w:rPr>
      </w:pPr>
      <w:r w:rsidRPr="000E5A85">
        <w:rPr>
          <w:rFonts w:ascii="Arial" w:eastAsia="Times New Roman" w:hAnsi="Arial" w:cs="Arial"/>
          <w:b/>
          <w:bCs/>
          <w:color w:val="000000"/>
          <w:sz w:val="24"/>
          <w:szCs w:val="24"/>
          <w:lang w:eastAsia="zh-CN"/>
        </w:rPr>
        <w:t xml:space="preserve">4. </w:t>
      </w:r>
      <w:r w:rsidR="00000000" w:rsidRPr="000E5A85">
        <w:rPr>
          <w:rFonts w:ascii="Arial" w:eastAsia="Times New Roman" w:hAnsi="Arial" w:cs="Arial"/>
          <w:b/>
          <w:bCs/>
          <w:color w:val="000000"/>
          <w:sz w:val="24"/>
          <w:szCs w:val="24"/>
          <w:lang w:eastAsia="zh-CN"/>
        </w:rPr>
        <w:t>Deadlines</w:t>
      </w:r>
    </w:p>
    <w:p w14:paraId="6026DFB0"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Submission deadline for workshop papers: Aug 11, 2026</w:t>
      </w:r>
    </w:p>
    <w:p w14:paraId="4E604A7D"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lastRenderedPageBreak/>
        <w:t>Acceptance notification of workshop papers: Sep 1, 2026</w:t>
      </w:r>
    </w:p>
    <w:p w14:paraId="7C11E21C" w14:textId="0591C7F2"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Final camera-ready version due for workshop papers: Sep 15, 2026</w:t>
      </w:r>
    </w:p>
    <w:p w14:paraId="551C3898" w14:textId="58E21267" w:rsidR="00C525DD" w:rsidRPr="000E5A85" w:rsidRDefault="000E5A85">
      <w:pPr>
        <w:spacing w:before="240" w:after="60"/>
        <w:jc w:val="both"/>
        <w:rPr>
          <w:rFonts w:ascii="Arial" w:eastAsia="Times New Roman" w:hAnsi="Arial" w:cs="Arial"/>
          <w:b/>
          <w:bCs/>
          <w:color w:val="000000"/>
          <w:sz w:val="24"/>
          <w:szCs w:val="24"/>
          <w:lang w:eastAsia="zh-CN"/>
        </w:rPr>
      </w:pPr>
      <w:r w:rsidRPr="000E5A85">
        <w:rPr>
          <w:rFonts w:ascii="Arial" w:eastAsia="Times New Roman" w:hAnsi="Arial" w:cs="Arial"/>
          <w:b/>
          <w:bCs/>
          <w:color w:val="000000"/>
          <w:sz w:val="24"/>
          <w:szCs w:val="24"/>
          <w:lang w:eastAsia="zh-CN"/>
        </w:rPr>
        <w:t xml:space="preserve">5. </w:t>
      </w:r>
      <w:r w:rsidR="00000000" w:rsidRPr="000E5A85">
        <w:rPr>
          <w:rFonts w:ascii="Arial" w:eastAsia="Times New Roman" w:hAnsi="Arial" w:cs="Arial"/>
          <w:b/>
          <w:bCs/>
          <w:color w:val="000000"/>
          <w:sz w:val="24"/>
          <w:szCs w:val="24"/>
          <w:lang w:eastAsia="zh-CN"/>
        </w:rPr>
        <w:t>Topics</w:t>
      </w:r>
    </w:p>
    <w:p w14:paraId="36B3F2C4"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The workshop committee welcomes contributions on a wide range of topics. Papers can cover various issues and aspects of AI in education and society. The scope of this workshop includes, but is not limited to, the following topics:</w:t>
      </w:r>
    </w:p>
    <w:p w14:paraId="307510FC"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AI-enhanced personalized learning and adaptive instruction</w:t>
      </w:r>
    </w:p>
    <w:p w14:paraId="16196DD7"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Generative AI tools for teaching and learning (e.g., ChatGPT, LLMs)</w:t>
      </w:r>
    </w:p>
    <w:p w14:paraId="68977FDC"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Intelligent tutoring systems and conversational agents</w:t>
      </w:r>
    </w:p>
    <w:p w14:paraId="171101F3"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Ethics, fairness, and bias in AI-driven educational systems</w:t>
      </w:r>
    </w:p>
    <w:p w14:paraId="028497C1"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AI literacy and computational thinking for K-12 and higher education</w:t>
      </w:r>
    </w:p>
    <w:p w14:paraId="33BE7DBD"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Human-AI collaboration in classroom and workplace settings</w:t>
      </w:r>
    </w:p>
    <w:p w14:paraId="2DEA7F19"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Learner and teacher perceptions, trust, and acceptance of AI</w:t>
      </w:r>
    </w:p>
    <w:p w14:paraId="181ABED9"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Automated essay scoring, feedback, and assessment</w:t>
      </w:r>
    </w:p>
    <w:p w14:paraId="5518395D"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Learning analytics and educational data mining with AI</w:t>
      </w:r>
    </w:p>
    <w:p w14:paraId="1D5D76E9"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Societal impacts of AI on equity, access, and inclusion in education</w:t>
      </w:r>
    </w:p>
    <w:p w14:paraId="25A77F1F"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AI in informal, lifelong, and community-based learning</w:t>
      </w:r>
    </w:p>
    <w:p w14:paraId="25C47DC3" w14:textId="77777777" w:rsidR="00C525DD" w:rsidRPr="000E5A85" w:rsidRDefault="00000000">
      <w:pPr>
        <w:pStyle w:val="ListParagraph"/>
        <w:numPr>
          <w:ilvl w:val="0"/>
          <w:numId w:val="2"/>
        </w:numPr>
        <w:rPr>
          <w:rFonts w:ascii="Arial" w:hAnsi="Arial" w:cs="Arial"/>
          <w:sz w:val="22"/>
          <w:szCs w:val="22"/>
        </w:rPr>
      </w:pPr>
      <w:r w:rsidRPr="000E5A85">
        <w:rPr>
          <w:rFonts w:ascii="Arial" w:eastAsia="Times New Roman" w:hAnsi="Arial" w:cs="Arial"/>
          <w:sz w:val="22"/>
          <w:szCs w:val="22"/>
        </w:rPr>
        <w:t>Policy, governance, and regulation of AI in educational contexts</w:t>
      </w:r>
    </w:p>
    <w:p w14:paraId="7E196FD6" w14:textId="77777777" w:rsidR="00C525DD" w:rsidRPr="000E5A85" w:rsidRDefault="00C525DD">
      <w:pPr>
        <w:rPr>
          <w:rFonts w:ascii="Arial" w:hAnsi="Arial" w:cs="Arial"/>
          <w:sz w:val="22"/>
          <w:szCs w:val="22"/>
        </w:rPr>
      </w:pPr>
    </w:p>
    <w:p w14:paraId="30E46851" w14:textId="476A6F18" w:rsidR="00C525DD" w:rsidRPr="000E5A85" w:rsidRDefault="000E5A85">
      <w:pPr>
        <w:spacing w:before="240" w:after="60"/>
        <w:jc w:val="both"/>
        <w:rPr>
          <w:rFonts w:ascii="Arial" w:hAnsi="Arial" w:cs="Arial"/>
          <w:sz w:val="24"/>
          <w:szCs w:val="24"/>
        </w:rPr>
      </w:pPr>
      <w:r w:rsidRPr="000E5A85">
        <w:rPr>
          <w:rFonts w:ascii="Arial" w:eastAsia="Times New Roman" w:hAnsi="Arial" w:cs="Arial"/>
          <w:b/>
          <w:bCs/>
          <w:color w:val="000000"/>
          <w:sz w:val="24"/>
          <w:szCs w:val="24"/>
          <w:lang w:eastAsia="zh-CN"/>
        </w:rPr>
        <w:t xml:space="preserve">6. </w:t>
      </w:r>
      <w:r w:rsidR="00000000" w:rsidRPr="000E5A85">
        <w:rPr>
          <w:rFonts w:ascii="Arial" w:eastAsia="Times New Roman" w:hAnsi="Arial" w:cs="Arial"/>
          <w:b/>
          <w:bCs/>
          <w:color w:val="000000"/>
          <w:sz w:val="24"/>
          <w:szCs w:val="24"/>
        </w:rPr>
        <w:t>Expected number of attendees and the planned length of the workshop</w:t>
      </w:r>
    </w:p>
    <w:p w14:paraId="4582C3C4"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1/2 day</w:t>
      </w:r>
    </w:p>
    <w:p w14:paraId="449D15F6" w14:textId="77777777" w:rsidR="00C525DD" w:rsidRPr="000E5A85" w:rsidRDefault="00C525DD">
      <w:pPr>
        <w:rPr>
          <w:rFonts w:ascii="Arial" w:hAnsi="Arial" w:cs="Arial"/>
          <w:sz w:val="22"/>
          <w:szCs w:val="22"/>
        </w:rPr>
      </w:pPr>
    </w:p>
    <w:p w14:paraId="59605D73" w14:textId="1070CE95" w:rsidR="00C525DD" w:rsidRPr="000E5A85" w:rsidRDefault="000E5A85">
      <w:pPr>
        <w:spacing w:before="240" w:after="60"/>
        <w:jc w:val="both"/>
        <w:rPr>
          <w:rFonts w:ascii="Arial" w:hAnsi="Arial" w:cs="Arial"/>
          <w:sz w:val="24"/>
          <w:szCs w:val="24"/>
        </w:rPr>
      </w:pPr>
      <w:r w:rsidRPr="000E5A85">
        <w:rPr>
          <w:rFonts w:ascii="Arial" w:eastAsia="Times New Roman" w:hAnsi="Arial" w:cs="Arial"/>
          <w:b/>
          <w:bCs/>
          <w:color w:val="000000"/>
          <w:sz w:val="24"/>
          <w:szCs w:val="24"/>
          <w:lang w:eastAsia="zh-CN"/>
        </w:rPr>
        <w:t xml:space="preserve">7. </w:t>
      </w:r>
      <w:r w:rsidR="00000000" w:rsidRPr="000E5A85">
        <w:rPr>
          <w:rFonts w:ascii="Arial" w:eastAsia="Times New Roman" w:hAnsi="Arial" w:cs="Arial"/>
          <w:b/>
          <w:bCs/>
          <w:color w:val="000000"/>
          <w:sz w:val="24"/>
          <w:szCs w:val="24"/>
        </w:rPr>
        <w:t>Program committee number</w:t>
      </w:r>
    </w:p>
    <w:p w14:paraId="60EDF1DF" w14:textId="77777777" w:rsidR="00C525DD" w:rsidRPr="000E5A85" w:rsidRDefault="00000000"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Chang-Yen Liao, National Central University</w:t>
      </w:r>
    </w:p>
    <w:p w14:paraId="409E4BA3" w14:textId="103FEF18" w:rsidR="00C12D22" w:rsidRPr="000E5A85" w:rsidRDefault="00C12D22" w:rsidP="000E5A85">
      <w:pPr>
        <w:spacing w:line="295" w:lineRule="auto"/>
        <w:ind w:right="140"/>
        <w:jc w:val="both"/>
        <w:rPr>
          <w:rFonts w:ascii="Arial" w:eastAsia="Times New Roman" w:hAnsi="Arial" w:cs="Arial"/>
          <w:sz w:val="22"/>
          <w:szCs w:val="22"/>
        </w:rPr>
      </w:pPr>
      <w:r w:rsidRPr="000E5A85">
        <w:rPr>
          <w:rFonts w:ascii="Arial" w:eastAsia="Times New Roman" w:hAnsi="Arial" w:cs="Arial"/>
          <w:sz w:val="22"/>
          <w:szCs w:val="22"/>
        </w:rPr>
        <w:t>Zhi-Hong Chen, National Taiwan Normal University</w:t>
      </w:r>
    </w:p>
    <w:p w14:paraId="1A4A9F34" w14:textId="5429A788" w:rsidR="00C525DD" w:rsidRPr="000E5A85" w:rsidRDefault="00C12D22" w:rsidP="000E5A85">
      <w:pPr>
        <w:spacing w:line="295" w:lineRule="auto"/>
        <w:ind w:right="140"/>
        <w:jc w:val="both"/>
        <w:rPr>
          <w:rFonts w:ascii="Arial" w:eastAsia="Times New Roman" w:hAnsi="Arial" w:cs="Arial"/>
          <w:sz w:val="22"/>
          <w:szCs w:val="22"/>
        </w:rPr>
      </w:pPr>
      <w:r w:rsidRPr="000E5A85">
        <w:rPr>
          <w:rFonts w:ascii="Arial" w:eastAsia="Times New Roman" w:hAnsi="Arial" w:cs="Arial"/>
          <w:sz w:val="22"/>
          <w:szCs w:val="22"/>
        </w:rPr>
        <w:t>Hercy N. H. Cheng, Taipei Medical University</w:t>
      </w:r>
    </w:p>
    <w:p w14:paraId="756E94CD" w14:textId="77777777" w:rsidR="00C12D22" w:rsidRPr="000E5A85" w:rsidRDefault="00C12D22" w:rsidP="000E5A85">
      <w:pPr>
        <w:spacing w:line="295" w:lineRule="auto"/>
        <w:ind w:right="140"/>
        <w:jc w:val="both"/>
        <w:rPr>
          <w:rFonts w:ascii="Arial" w:hAnsi="Arial" w:cs="Arial"/>
          <w:sz w:val="22"/>
          <w:szCs w:val="22"/>
        </w:rPr>
      </w:pPr>
      <w:r w:rsidRPr="000E5A85">
        <w:rPr>
          <w:rFonts w:ascii="Arial" w:eastAsia="Times New Roman" w:hAnsi="Arial" w:cs="Arial"/>
          <w:sz w:val="22"/>
          <w:szCs w:val="22"/>
        </w:rPr>
        <w:t>Wan-Chen Chang, National Tsing Hua University</w:t>
      </w:r>
    </w:p>
    <w:p w14:paraId="1BA07328" w14:textId="636D2D90" w:rsidR="00C12D22" w:rsidRPr="000E5A85" w:rsidRDefault="001200AF" w:rsidP="000E5A85">
      <w:pPr>
        <w:spacing w:line="295" w:lineRule="auto"/>
        <w:ind w:right="140"/>
        <w:jc w:val="both"/>
        <w:rPr>
          <w:rFonts w:ascii="Arial" w:eastAsia="Times New Roman" w:hAnsi="Arial" w:cs="Arial"/>
          <w:sz w:val="22"/>
          <w:szCs w:val="22"/>
        </w:rPr>
      </w:pPr>
      <w:r w:rsidRPr="000E5A85">
        <w:rPr>
          <w:rFonts w:ascii="Arial" w:eastAsia="Times New Roman" w:hAnsi="Arial" w:cs="Arial"/>
          <w:sz w:val="22"/>
          <w:szCs w:val="22"/>
        </w:rPr>
        <w:t>Yung-Hsiang Hu, University of Taipei</w:t>
      </w:r>
    </w:p>
    <w:sectPr w:rsidR="00C12D22" w:rsidRPr="000E5A8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A94"/>
    <w:multiLevelType w:val="hybridMultilevel"/>
    <w:tmpl w:val="737AA436"/>
    <w:lvl w:ilvl="0" w:tplc="30323ED4">
      <w:start w:val="1"/>
      <w:numFmt w:val="bullet"/>
      <w:lvlText w:val="●"/>
      <w:lvlJc w:val="left"/>
      <w:pPr>
        <w:ind w:left="720" w:hanging="360"/>
      </w:pPr>
    </w:lvl>
    <w:lvl w:ilvl="1" w:tplc="CF28C578">
      <w:start w:val="1"/>
      <w:numFmt w:val="bullet"/>
      <w:lvlText w:val="○"/>
      <w:lvlJc w:val="left"/>
      <w:pPr>
        <w:ind w:left="1440" w:hanging="360"/>
      </w:pPr>
    </w:lvl>
    <w:lvl w:ilvl="2" w:tplc="087CE22E">
      <w:start w:val="1"/>
      <w:numFmt w:val="bullet"/>
      <w:lvlText w:val="■"/>
      <w:lvlJc w:val="left"/>
      <w:pPr>
        <w:ind w:left="2160" w:hanging="360"/>
      </w:pPr>
    </w:lvl>
    <w:lvl w:ilvl="3" w:tplc="9D6CBC68">
      <w:start w:val="1"/>
      <w:numFmt w:val="bullet"/>
      <w:lvlText w:val="●"/>
      <w:lvlJc w:val="left"/>
      <w:pPr>
        <w:ind w:left="2880" w:hanging="360"/>
      </w:pPr>
    </w:lvl>
    <w:lvl w:ilvl="4" w:tplc="96CA3D84">
      <w:start w:val="1"/>
      <w:numFmt w:val="bullet"/>
      <w:lvlText w:val="○"/>
      <w:lvlJc w:val="left"/>
      <w:pPr>
        <w:ind w:left="3600" w:hanging="360"/>
      </w:pPr>
    </w:lvl>
    <w:lvl w:ilvl="5" w:tplc="581CC364">
      <w:start w:val="1"/>
      <w:numFmt w:val="bullet"/>
      <w:lvlText w:val="■"/>
      <w:lvlJc w:val="left"/>
      <w:pPr>
        <w:ind w:left="4320" w:hanging="360"/>
      </w:pPr>
    </w:lvl>
    <w:lvl w:ilvl="6" w:tplc="680E7980">
      <w:start w:val="1"/>
      <w:numFmt w:val="bullet"/>
      <w:lvlText w:val="●"/>
      <w:lvlJc w:val="left"/>
      <w:pPr>
        <w:ind w:left="5040" w:hanging="360"/>
      </w:pPr>
    </w:lvl>
    <w:lvl w:ilvl="7" w:tplc="BB1A43A8">
      <w:start w:val="1"/>
      <w:numFmt w:val="bullet"/>
      <w:lvlText w:val="●"/>
      <w:lvlJc w:val="left"/>
      <w:pPr>
        <w:ind w:left="5760" w:hanging="360"/>
      </w:pPr>
    </w:lvl>
    <w:lvl w:ilvl="8" w:tplc="F6163F18">
      <w:start w:val="1"/>
      <w:numFmt w:val="bullet"/>
      <w:lvlText w:val="●"/>
      <w:lvlJc w:val="left"/>
      <w:pPr>
        <w:ind w:left="6480" w:hanging="360"/>
      </w:pPr>
    </w:lvl>
  </w:abstractNum>
  <w:abstractNum w:abstractNumId="1" w15:restartNumberingAfterBreak="0">
    <w:nsid w:val="3B84024A"/>
    <w:multiLevelType w:val="hybridMultilevel"/>
    <w:tmpl w:val="DBDABCA2"/>
    <w:lvl w:ilvl="0" w:tplc="037C29F0">
      <w:start w:val="1"/>
      <w:numFmt w:val="bullet"/>
      <w:lvlText w:val="•"/>
      <w:lvlJc w:val="left"/>
      <w:pPr>
        <w:spacing w:line="280" w:lineRule="auto"/>
        <w:ind w:left="860" w:hanging="360"/>
      </w:pPr>
    </w:lvl>
    <w:lvl w:ilvl="1" w:tplc="2C729294">
      <w:numFmt w:val="decimal"/>
      <w:lvlText w:val=""/>
      <w:lvlJc w:val="left"/>
    </w:lvl>
    <w:lvl w:ilvl="2" w:tplc="9E56B1EE">
      <w:numFmt w:val="decimal"/>
      <w:lvlText w:val=""/>
      <w:lvlJc w:val="left"/>
    </w:lvl>
    <w:lvl w:ilvl="3" w:tplc="A28A2A88">
      <w:numFmt w:val="decimal"/>
      <w:lvlText w:val=""/>
      <w:lvlJc w:val="left"/>
    </w:lvl>
    <w:lvl w:ilvl="4" w:tplc="1108C550">
      <w:numFmt w:val="decimal"/>
      <w:lvlText w:val=""/>
      <w:lvlJc w:val="left"/>
    </w:lvl>
    <w:lvl w:ilvl="5" w:tplc="3926DC8A">
      <w:numFmt w:val="decimal"/>
      <w:lvlText w:val=""/>
      <w:lvlJc w:val="left"/>
    </w:lvl>
    <w:lvl w:ilvl="6" w:tplc="4380D1B2">
      <w:numFmt w:val="decimal"/>
      <w:lvlText w:val=""/>
      <w:lvlJc w:val="left"/>
    </w:lvl>
    <w:lvl w:ilvl="7" w:tplc="154415F8">
      <w:numFmt w:val="decimal"/>
      <w:lvlText w:val=""/>
      <w:lvlJc w:val="left"/>
    </w:lvl>
    <w:lvl w:ilvl="8" w:tplc="38081936">
      <w:numFmt w:val="decimal"/>
      <w:lvlText w:val=""/>
      <w:lvlJc w:val="left"/>
    </w:lvl>
  </w:abstractNum>
  <w:num w:numId="1" w16cid:durableId="1074157994">
    <w:abstractNumId w:val="0"/>
    <w:lvlOverride w:ilvl="0">
      <w:startOverride w:val="1"/>
    </w:lvlOverride>
  </w:num>
  <w:num w:numId="2" w16cid:durableId="20698358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DD"/>
    <w:rsid w:val="000501A6"/>
    <w:rsid w:val="000E5A85"/>
    <w:rsid w:val="001200AF"/>
    <w:rsid w:val="00931081"/>
    <w:rsid w:val="009C37F8"/>
    <w:rsid w:val="00C12D22"/>
    <w:rsid w:val="00C52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92BD7CD"/>
  <w15:docId w15:val="{62FC83CD-6D2A-4A47-B0A4-06778732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1">
    <w:name w:val="強調粗體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12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ce2026.csse.canterbury.ac.nz/wp-content/uploads/2026/03/ICCE2026_PaperTemplate.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YANG, Yin Nicole [MIT]</cp:lastModifiedBy>
  <cp:revision>2</cp:revision>
  <dcterms:created xsi:type="dcterms:W3CDTF">2026-06-29T12:42:00Z</dcterms:created>
  <dcterms:modified xsi:type="dcterms:W3CDTF">2026-06-29T12:42:00Z</dcterms:modified>
</cp:coreProperties>
</file>